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97D" w:rsidRPr="00362ABE" w:rsidRDefault="0049797D">
      <w:pPr>
        <w:pStyle w:val="ConsPlusTitlePage"/>
        <w:rPr>
          <w:rFonts w:ascii="Times New Roman" w:hAnsi="Times New Roman" w:cs="Times New Roman"/>
          <w:sz w:val="28"/>
          <w:szCs w:val="28"/>
        </w:rPr>
      </w:pPr>
      <w:r w:rsidRPr="00362ABE">
        <w:rPr>
          <w:rFonts w:ascii="Times New Roman" w:hAnsi="Times New Roman" w:cs="Times New Roman"/>
          <w:sz w:val="28"/>
          <w:szCs w:val="28"/>
        </w:rPr>
        <w:t xml:space="preserve">Документ предоставлен </w:t>
      </w:r>
      <w:hyperlink r:id="rId5" w:history="1">
        <w:proofErr w:type="spellStart"/>
        <w:r w:rsidRPr="00362ABE">
          <w:rPr>
            <w:rFonts w:ascii="Times New Roman" w:hAnsi="Times New Roman" w:cs="Times New Roman"/>
            <w:color w:val="0000FF"/>
            <w:sz w:val="28"/>
            <w:szCs w:val="28"/>
          </w:rPr>
          <w:t>КонсультантПлюс</w:t>
        </w:r>
        <w:proofErr w:type="spellEnd"/>
      </w:hyperlink>
      <w:r w:rsidRPr="00362ABE">
        <w:rPr>
          <w:rFonts w:ascii="Times New Roman" w:hAnsi="Times New Roman" w:cs="Times New Roman"/>
          <w:sz w:val="28"/>
          <w:szCs w:val="28"/>
        </w:rPr>
        <w:br/>
      </w:r>
    </w:p>
    <w:p w:rsidR="0049797D" w:rsidRPr="00362ABE" w:rsidRDefault="00497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97D" w:rsidRPr="00362ABE" w:rsidRDefault="004979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2ABE">
        <w:rPr>
          <w:rFonts w:ascii="Times New Roman" w:hAnsi="Times New Roman" w:cs="Times New Roman"/>
          <w:sz w:val="28"/>
          <w:szCs w:val="28"/>
        </w:rPr>
        <w:t>МИНИСТЕРСТВО ОБРАЗОВАНИЯ И НАУКИ РОССИЙСКОЙ ФЕДЕРАЦИИ</w:t>
      </w:r>
    </w:p>
    <w:p w:rsidR="0049797D" w:rsidRPr="00362ABE" w:rsidRDefault="004979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797D" w:rsidRPr="00362ABE" w:rsidRDefault="004979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2ABE">
        <w:rPr>
          <w:rFonts w:ascii="Times New Roman" w:hAnsi="Times New Roman" w:cs="Times New Roman"/>
          <w:sz w:val="28"/>
          <w:szCs w:val="28"/>
        </w:rPr>
        <w:t>ПРИКАЗ</w:t>
      </w:r>
    </w:p>
    <w:p w:rsidR="0049797D" w:rsidRPr="00362ABE" w:rsidRDefault="004979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2ABE">
        <w:rPr>
          <w:rFonts w:ascii="Times New Roman" w:hAnsi="Times New Roman" w:cs="Times New Roman"/>
          <w:sz w:val="28"/>
          <w:szCs w:val="28"/>
        </w:rPr>
        <w:t xml:space="preserve">от 3 апреля 2014 г. </w:t>
      </w:r>
      <w:r w:rsidR="00327C42" w:rsidRPr="00362ABE">
        <w:rPr>
          <w:rFonts w:ascii="Times New Roman" w:hAnsi="Times New Roman" w:cs="Times New Roman"/>
          <w:sz w:val="28"/>
          <w:szCs w:val="28"/>
        </w:rPr>
        <w:t xml:space="preserve">№ </w:t>
      </w:r>
      <w:r w:rsidRPr="00362ABE">
        <w:rPr>
          <w:rFonts w:ascii="Times New Roman" w:hAnsi="Times New Roman" w:cs="Times New Roman"/>
          <w:sz w:val="28"/>
          <w:szCs w:val="28"/>
        </w:rPr>
        <w:t>265</w:t>
      </w:r>
    </w:p>
    <w:p w:rsidR="0049797D" w:rsidRPr="00362ABE" w:rsidRDefault="004979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9797D" w:rsidRPr="00362ABE" w:rsidRDefault="004979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2ABE">
        <w:rPr>
          <w:rFonts w:ascii="Times New Roman" w:hAnsi="Times New Roman" w:cs="Times New Roman"/>
          <w:sz w:val="28"/>
          <w:szCs w:val="28"/>
        </w:rPr>
        <w:t>ОБ УТВЕРЖДЕНИИ ПЛАНА МЕРОПРИЯТИЙ</w:t>
      </w:r>
    </w:p>
    <w:p w:rsidR="0049797D" w:rsidRPr="00362ABE" w:rsidRDefault="004979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2ABE">
        <w:rPr>
          <w:rFonts w:ascii="Times New Roman" w:hAnsi="Times New Roman" w:cs="Times New Roman"/>
          <w:sz w:val="28"/>
          <w:szCs w:val="28"/>
        </w:rPr>
        <w:t>МИНИСТЕРСТВА ОБРАЗОВАНИЯ И НАУКИ РОССИЙСКОЙ ФЕДЕРАЦИИ</w:t>
      </w:r>
    </w:p>
    <w:p w:rsidR="0049797D" w:rsidRPr="00362ABE" w:rsidRDefault="004979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2ABE">
        <w:rPr>
          <w:rFonts w:ascii="Times New Roman" w:hAnsi="Times New Roman" w:cs="Times New Roman"/>
          <w:sz w:val="28"/>
          <w:szCs w:val="28"/>
        </w:rPr>
        <w:t>ПО РЕАЛИЗАЦИИ КОНЦЕПЦИИ РАЗВИТИЯ МАТЕМАТИЧЕСКОГО</w:t>
      </w:r>
    </w:p>
    <w:p w:rsidR="0049797D" w:rsidRPr="00362ABE" w:rsidRDefault="004979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2ABE">
        <w:rPr>
          <w:rFonts w:ascii="Times New Roman" w:hAnsi="Times New Roman" w:cs="Times New Roman"/>
          <w:sz w:val="28"/>
          <w:szCs w:val="28"/>
        </w:rPr>
        <w:t>ОБРАЗОВАНИЯ В РОССИЙСКОЙ ФЕДЕРАЦИИ, УТВЕРЖДЕННОЙ</w:t>
      </w:r>
    </w:p>
    <w:p w:rsidR="0049797D" w:rsidRPr="00362ABE" w:rsidRDefault="004979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2ABE">
        <w:rPr>
          <w:rFonts w:ascii="Times New Roman" w:hAnsi="Times New Roman" w:cs="Times New Roman"/>
          <w:sz w:val="28"/>
          <w:szCs w:val="28"/>
        </w:rPr>
        <w:t>РАСПОРЯЖЕНИЕМ ПРАВИТЕЛЬСТВА РОССИЙСКОЙ ФЕДЕРАЦИИ</w:t>
      </w:r>
    </w:p>
    <w:p w:rsidR="0049797D" w:rsidRPr="00362ABE" w:rsidRDefault="004979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62ABE">
        <w:rPr>
          <w:rFonts w:ascii="Times New Roman" w:hAnsi="Times New Roman" w:cs="Times New Roman"/>
          <w:sz w:val="28"/>
          <w:szCs w:val="28"/>
        </w:rPr>
        <w:t>ОТ 24 ДЕКАБРЯ 2013 Г. N 2506-Р</w:t>
      </w:r>
    </w:p>
    <w:p w:rsidR="0049797D" w:rsidRPr="00362ABE" w:rsidRDefault="00497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97D" w:rsidRPr="00362ABE" w:rsidRDefault="00497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BE">
        <w:rPr>
          <w:rFonts w:ascii="Times New Roman" w:hAnsi="Times New Roman" w:cs="Times New Roman"/>
          <w:sz w:val="28"/>
          <w:szCs w:val="28"/>
        </w:rPr>
        <w:t xml:space="preserve">Во исполнение </w:t>
      </w:r>
      <w:hyperlink r:id="rId6" w:history="1">
        <w:r w:rsidRPr="00362ABE">
          <w:rPr>
            <w:rFonts w:ascii="Times New Roman" w:hAnsi="Times New Roman" w:cs="Times New Roman"/>
            <w:color w:val="0000FF"/>
            <w:sz w:val="28"/>
            <w:szCs w:val="28"/>
          </w:rPr>
          <w:t>пункта 2</w:t>
        </w:r>
      </w:hyperlink>
      <w:r w:rsidRPr="00362ABE">
        <w:rPr>
          <w:rFonts w:ascii="Times New Roman" w:hAnsi="Times New Roman" w:cs="Times New Roman"/>
          <w:sz w:val="28"/>
          <w:szCs w:val="28"/>
        </w:rPr>
        <w:t xml:space="preserve"> распоряжения Правительства Российской Федерации от 24 декабря 2013 г. N 2506-р и протокола заседания подгруппы по мониторингу достижения целевых показателей, определенных Президентом Российской Федерации, в сфере образования и науки при рабочей группе Комиссии при Президенте Российской Федерации по мониторингу достижения целевых показателей социально-экономического развития Российской Федерации, определенных Президентом Российской Федерации, от 21 февраля 2014 г. N 2 приказываю:</w:t>
      </w:r>
    </w:p>
    <w:p w:rsidR="0049797D" w:rsidRPr="00362ABE" w:rsidRDefault="00497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BE">
        <w:rPr>
          <w:rFonts w:ascii="Times New Roman" w:hAnsi="Times New Roman" w:cs="Times New Roman"/>
          <w:sz w:val="28"/>
          <w:szCs w:val="28"/>
        </w:rPr>
        <w:t xml:space="preserve">1. Утвердить прилагаемый </w:t>
      </w:r>
      <w:hyperlink w:anchor="P35" w:history="1">
        <w:r w:rsidRPr="00362ABE">
          <w:rPr>
            <w:rFonts w:ascii="Times New Roman" w:hAnsi="Times New Roman" w:cs="Times New Roman"/>
            <w:color w:val="0000FF"/>
            <w:sz w:val="28"/>
            <w:szCs w:val="28"/>
          </w:rPr>
          <w:t>план</w:t>
        </w:r>
      </w:hyperlink>
      <w:r w:rsidRPr="00362ABE">
        <w:rPr>
          <w:rFonts w:ascii="Times New Roman" w:hAnsi="Times New Roman" w:cs="Times New Roman"/>
          <w:sz w:val="28"/>
          <w:szCs w:val="28"/>
        </w:rPr>
        <w:t xml:space="preserve"> мероприятий Министерства образования и науки Российской Федерации по реализации </w:t>
      </w:r>
      <w:hyperlink r:id="rId7" w:history="1">
        <w:r w:rsidRPr="00362ABE">
          <w:rPr>
            <w:rFonts w:ascii="Times New Roman" w:hAnsi="Times New Roman" w:cs="Times New Roman"/>
            <w:color w:val="0000FF"/>
            <w:sz w:val="28"/>
            <w:szCs w:val="28"/>
          </w:rPr>
          <w:t>Концепции</w:t>
        </w:r>
      </w:hyperlink>
      <w:r w:rsidRPr="00362ABE">
        <w:rPr>
          <w:rFonts w:ascii="Times New Roman" w:hAnsi="Times New Roman" w:cs="Times New Roman"/>
          <w:sz w:val="28"/>
          <w:szCs w:val="28"/>
        </w:rPr>
        <w:t xml:space="preserve"> развития математического образования в Российской Федерации, утвержденной распоряжением Правительства Российской Федерации от 24 декабря 2013 г. N 2506-р (далее - План мероприятий).</w:t>
      </w:r>
    </w:p>
    <w:p w:rsidR="0049797D" w:rsidRPr="00362ABE" w:rsidRDefault="00497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BE">
        <w:rPr>
          <w:rFonts w:ascii="Times New Roman" w:hAnsi="Times New Roman" w:cs="Times New Roman"/>
          <w:sz w:val="28"/>
          <w:szCs w:val="28"/>
        </w:rPr>
        <w:t xml:space="preserve">2. Финансовое обеспечение </w:t>
      </w:r>
      <w:hyperlink w:anchor="P35" w:history="1">
        <w:r w:rsidRPr="00362ABE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362ABE">
        <w:rPr>
          <w:rFonts w:ascii="Times New Roman" w:hAnsi="Times New Roman" w:cs="Times New Roman"/>
          <w:sz w:val="28"/>
          <w:szCs w:val="28"/>
        </w:rPr>
        <w:t xml:space="preserve"> мероприятий в 2014 году будет осуществляться в пределах бюджетных ассигнований, предусмотренных Министерству образования и науки Российской Федерации Федеральным </w:t>
      </w:r>
      <w:hyperlink r:id="rId8" w:history="1">
        <w:r w:rsidRPr="00362ABE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62ABE">
        <w:rPr>
          <w:rFonts w:ascii="Times New Roman" w:hAnsi="Times New Roman" w:cs="Times New Roman"/>
          <w:sz w:val="28"/>
          <w:szCs w:val="28"/>
        </w:rPr>
        <w:t xml:space="preserve"> "О федеральном бюджете на 2014 год и на плановый период 2015 и 2016 годов" на реализацию государственной </w:t>
      </w:r>
      <w:hyperlink r:id="rId9" w:history="1">
        <w:r w:rsidRPr="00362ABE">
          <w:rPr>
            <w:rFonts w:ascii="Times New Roman" w:hAnsi="Times New Roman" w:cs="Times New Roman"/>
            <w:color w:val="0000FF"/>
            <w:sz w:val="28"/>
            <w:szCs w:val="28"/>
          </w:rPr>
          <w:t>программы</w:t>
        </w:r>
      </w:hyperlink>
      <w:r w:rsidRPr="00362ABE">
        <w:rPr>
          <w:rFonts w:ascii="Times New Roman" w:hAnsi="Times New Roman" w:cs="Times New Roman"/>
          <w:sz w:val="28"/>
          <w:szCs w:val="28"/>
        </w:rPr>
        <w:t xml:space="preserve"> Российской Федерации "Развитие образования" на 2013 - 2020 годы.</w:t>
      </w:r>
    </w:p>
    <w:p w:rsidR="0049797D" w:rsidRPr="00362ABE" w:rsidRDefault="00497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BE">
        <w:rPr>
          <w:rFonts w:ascii="Times New Roman" w:hAnsi="Times New Roman" w:cs="Times New Roman"/>
          <w:sz w:val="28"/>
          <w:szCs w:val="28"/>
        </w:rPr>
        <w:t xml:space="preserve">3. Руководителям структурных подразделений Министерства образования и науки Российской Федерации, ответственным за реализацию </w:t>
      </w:r>
      <w:hyperlink w:anchor="P35" w:history="1">
        <w:r w:rsidRPr="00362ABE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362ABE">
        <w:rPr>
          <w:rFonts w:ascii="Times New Roman" w:hAnsi="Times New Roman" w:cs="Times New Roman"/>
          <w:sz w:val="28"/>
          <w:szCs w:val="28"/>
        </w:rPr>
        <w:t xml:space="preserve"> мероприятий, Федеральной службе по надзору в сфере образования и науки (Кравцову С.С.) представлять информацию в Департамент государственной политики в сфере общего образования (Зыряновой А.В.) ежегодно, до 1 февраля года, следующего за отчетным.</w:t>
      </w:r>
    </w:p>
    <w:p w:rsidR="0049797D" w:rsidRPr="00362ABE" w:rsidRDefault="00497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BE">
        <w:rPr>
          <w:rFonts w:ascii="Times New Roman" w:hAnsi="Times New Roman" w:cs="Times New Roman"/>
          <w:sz w:val="28"/>
          <w:szCs w:val="28"/>
        </w:rPr>
        <w:t xml:space="preserve">4. Департаменту государственной политики в сфере общего образования (Зыряновой А.В.) обеспечить представление доклада о ходе реализации </w:t>
      </w:r>
      <w:hyperlink w:anchor="P35" w:history="1">
        <w:r w:rsidRPr="00362ABE">
          <w:rPr>
            <w:rFonts w:ascii="Times New Roman" w:hAnsi="Times New Roman" w:cs="Times New Roman"/>
            <w:color w:val="0000FF"/>
            <w:sz w:val="28"/>
            <w:szCs w:val="28"/>
          </w:rPr>
          <w:t>Плана</w:t>
        </w:r>
      </w:hyperlink>
      <w:r w:rsidRPr="00362ABE">
        <w:rPr>
          <w:rFonts w:ascii="Times New Roman" w:hAnsi="Times New Roman" w:cs="Times New Roman"/>
          <w:sz w:val="28"/>
          <w:szCs w:val="28"/>
        </w:rPr>
        <w:t xml:space="preserve"> </w:t>
      </w:r>
      <w:r w:rsidRPr="00362ABE">
        <w:rPr>
          <w:rFonts w:ascii="Times New Roman" w:hAnsi="Times New Roman" w:cs="Times New Roman"/>
          <w:sz w:val="28"/>
          <w:szCs w:val="28"/>
        </w:rPr>
        <w:lastRenderedPageBreak/>
        <w:t>мероприятий руководству Министерства ежегодно, до 1 марта года, следующего за отчетным.</w:t>
      </w:r>
    </w:p>
    <w:p w:rsidR="0049797D" w:rsidRPr="00362ABE" w:rsidRDefault="00497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BE">
        <w:rPr>
          <w:rFonts w:ascii="Times New Roman" w:hAnsi="Times New Roman" w:cs="Times New Roman"/>
          <w:sz w:val="28"/>
          <w:szCs w:val="28"/>
        </w:rPr>
        <w:t>5. Контроль за исполнением настоящего Приказа оставляю за собой.</w:t>
      </w:r>
    </w:p>
    <w:p w:rsidR="0049797D" w:rsidRPr="00362ABE" w:rsidRDefault="00497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97D" w:rsidRPr="00362ABE" w:rsidRDefault="00497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ABE">
        <w:rPr>
          <w:rFonts w:ascii="Times New Roman" w:hAnsi="Times New Roman" w:cs="Times New Roman"/>
          <w:sz w:val="28"/>
          <w:szCs w:val="28"/>
        </w:rPr>
        <w:t>Министр</w:t>
      </w:r>
    </w:p>
    <w:p w:rsidR="0049797D" w:rsidRPr="00362ABE" w:rsidRDefault="00497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ABE">
        <w:rPr>
          <w:rFonts w:ascii="Times New Roman" w:hAnsi="Times New Roman" w:cs="Times New Roman"/>
          <w:sz w:val="28"/>
          <w:szCs w:val="28"/>
        </w:rPr>
        <w:t>Д.В.ЛИВАНОВ</w:t>
      </w:r>
    </w:p>
    <w:p w:rsidR="0049797D" w:rsidRPr="00362ABE" w:rsidRDefault="00497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97D" w:rsidRPr="00362ABE" w:rsidRDefault="00497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97D" w:rsidRPr="00362ABE" w:rsidRDefault="00497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97D" w:rsidRPr="00362ABE" w:rsidRDefault="00497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97D" w:rsidRPr="00362ABE" w:rsidRDefault="00497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97D" w:rsidRPr="00362ABE" w:rsidRDefault="00497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ABE">
        <w:rPr>
          <w:rFonts w:ascii="Times New Roman" w:hAnsi="Times New Roman" w:cs="Times New Roman"/>
          <w:sz w:val="28"/>
          <w:szCs w:val="28"/>
        </w:rPr>
        <w:t>Приложение</w:t>
      </w:r>
    </w:p>
    <w:p w:rsidR="0049797D" w:rsidRPr="00362ABE" w:rsidRDefault="00497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97D" w:rsidRPr="00362ABE" w:rsidRDefault="00497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ABE">
        <w:rPr>
          <w:rFonts w:ascii="Times New Roman" w:hAnsi="Times New Roman" w:cs="Times New Roman"/>
          <w:sz w:val="28"/>
          <w:szCs w:val="28"/>
        </w:rPr>
        <w:t>Утвержден</w:t>
      </w:r>
    </w:p>
    <w:p w:rsidR="0049797D" w:rsidRPr="00362ABE" w:rsidRDefault="00497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ABE">
        <w:rPr>
          <w:rFonts w:ascii="Times New Roman" w:hAnsi="Times New Roman" w:cs="Times New Roman"/>
          <w:sz w:val="28"/>
          <w:szCs w:val="28"/>
        </w:rPr>
        <w:t>Приказом Министерства</w:t>
      </w:r>
    </w:p>
    <w:p w:rsidR="0049797D" w:rsidRPr="00362ABE" w:rsidRDefault="00497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ABE">
        <w:rPr>
          <w:rFonts w:ascii="Times New Roman" w:hAnsi="Times New Roman" w:cs="Times New Roman"/>
          <w:sz w:val="28"/>
          <w:szCs w:val="28"/>
        </w:rPr>
        <w:t>образования и науки</w:t>
      </w:r>
    </w:p>
    <w:p w:rsidR="0049797D" w:rsidRPr="00362ABE" w:rsidRDefault="00497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ABE">
        <w:rPr>
          <w:rFonts w:ascii="Times New Roman" w:hAnsi="Times New Roman" w:cs="Times New Roman"/>
          <w:sz w:val="28"/>
          <w:szCs w:val="28"/>
        </w:rPr>
        <w:t>Российской Федерации</w:t>
      </w:r>
    </w:p>
    <w:p w:rsidR="0049797D" w:rsidRPr="00362ABE" w:rsidRDefault="0049797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362ABE">
        <w:rPr>
          <w:rFonts w:ascii="Times New Roman" w:hAnsi="Times New Roman" w:cs="Times New Roman"/>
          <w:sz w:val="28"/>
          <w:szCs w:val="28"/>
        </w:rPr>
        <w:t>от 3 апреля 2014 г. N 265</w:t>
      </w:r>
    </w:p>
    <w:p w:rsidR="0049797D" w:rsidRPr="00362ABE" w:rsidRDefault="00497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97D" w:rsidRPr="00362ABE" w:rsidRDefault="004979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5"/>
      <w:bookmarkEnd w:id="0"/>
      <w:r w:rsidRPr="00362ABE">
        <w:rPr>
          <w:rFonts w:ascii="Times New Roman" w:hAnsi="Times New Roman" w:cs="Times New Roman"/>
          <w:sz w:val="28"/>
          <w:szCs w:val="28"/>
        </w:rPr>
        <w:t>ПЛАН</w:t>
      </w:r>
    </w:p>
    <w:p w:rsidR="0049797D" w:rsidRPr="00362ABE" w:rsidRDefault="004979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2ABE">
        <w:rPr>
          <w:rFonts w:ascii="Times New Roman" w:hAnsi="Times New Roman" w:cs="Times New Roman"/>
          <w:sz w:val="28"/>
          <w:szCs w:val="28"/>
        </w:rPr>
        <w:t>МЕРОПРИЯТИЙ МИНОБРНАУКИ РОССИИ ПО РЕАЛИЗАЦИИ КОНЦЕПЦИИ</w:t>
      </w:r>
    </w:p>
    <w:p w:rsidR="0049797D" w:rsidRPr="00362ABE" w:rsidRDefault="004979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2ABE">
        <w:rPr>
          <w:rFonts w:ascii="Times New Roman" w:hAnsi="Times New Roman" w:cs="Times New Roman"/>
          <w:sz w:val="28"/>
          <w:szCs w:val="28"/>
        </w:rPr>
        <w:t>РАЗВИТИЯ МАТЕМАТИЧЕСКОГО ОБРАЗОВАНИЯ В РОССИЙСКОЙ ФЕДЕРАЦИИ,</w:t>
      </w:r>
    </w:p>
    <w:p w:rsidR="0049797D" w:rsidRPr="00362ABE" w:rsidRDefault="004979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2ABE">
        <w:rPr>
          <w:rFonts w:ascii="Times New Roman" w:hAnsi="Times New Roman" w:cs="Times New Roman"/>
          <w:sz w:val="28"/>
          <w:szCs w:val="28"/>
        </w:rPr>
        <w:t>УТВЕРЖДЕННОЙ РАСПОРЯЖЕНИЕМ ПРАВИТЕЛЬСТВА РОССИЙСКОЙ</w:t>
      </w:r>
    </w:p>
    <w:p w:rsidR="0049797D" w:rsidRPr="00362ABE" w:rsidRDefault="0049797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362ABE">
        <w:rPr>
          <w:rFonts w:ascii="Times New Roman" w:hAnsi="Times New Roman" w:cs="Times New Roman"/>
          <w:sz w:val="28"/>
          <w:szCs w:val="28"/>
        </w:rPr>
        <w:t xml:space="preserve">ФЕДЕРАЦИИ ОТ 24 ДЕКАБРЯ 2013 Г. N 2506-Р &lt;*&gt;, </w:t>
      </w:r>
      <w:hyperlink w:anchor="P505" w:history="1">
        <w:r w:rsidRPr="00362ABE">
          <w:rPr>
            <w:rFonts w:ascii="Times New Roman" w:hAnsi="Times New Roman" w:cs="Times New Roman"/>
            <w:color w:val="0000FF"/>
            <w:sz w:val="28"/>
            <w:szCs w:val="28"/>
          </w:rPr>
          <w:t>&lt;**&gt;</w:t>
        </w:r>
      </w:hyperlink>
    </w:p>
    <w:p w:rsidR="0049797D" w:rsidRPr="00362ABE" w:rsidRDefault="00497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97D" w:rsidRPr="00362ABE" w:rsidRDefault="00497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B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797D" w:rsidRPr="00362ABE" w:rsidRDefault="00497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BE">
        <w:rPr>
          <w:rFonts w:ascii="Times New Roman" w:hAnsi="Times New Roman" w:cs="Times New Roman"/>
          <w:sz w:val="28"/>
          <w:szCs w:val="28"/>
        </w:rPr>
        <w:t xml:space="preserve">&lt;*&gt; В пунктах плана мероприятий </w:t>
      </w:r>
      <w:hyperlink w:anchor="P49" w:history="1">
        <w:r w:rsidRPr="00362ABE">
          <w:rPr>
            <w:rFonts w:ascii="Times New Roman" w:hAnsi="Times New Roman" w:cs="Times New Roman"/>
            <w:color w:val="0000FF"/>
            <w:sz w:val="28"/>
            <w:szCs w:val="28"/>
          </w:rPr>
          <w:t>N 1</w:t>
        </w:r>
      </w:hyperlink>
      <w:r w:rsidRPr="00362A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63" w:history="1">
        <w:r w:rsidRPr="00362ABE">
          <w:rPr>
            <w:rFonts w:ascii="Times New Roman" w:hAnsi="Times New Roman" w:cs="Times New Roman"/>
            <w:color w:val="0000FF"/>
            <w:sz w:val="28"/>
            <w:szCs w:val="28"/>
          </w:rPr>
          <w:t>3</w:t>
        </w:r>
      </w:hyperlink>
      <w:r w:rsidRPr="00362ABE">
        <w:rPr>
          <w:rFonts w:ascii="Times New Roman" w:hAnsi="Times New Roman" w:cs="Times New Roman"/>
          <w:sz w:val="28"/>
          <w:szCs w:val="28"/>
        </w:rPr>
        <w:t xml:space="preserve"> - 7, </w:t>
      </w:r>
      <w:hyperlink w:anchor="P108" w:history="1">
        <w:r w:rsidRPr="00362ABE">
          <w:rPr>
            <w:rFonts w:ascii="Times New Roman" w:hAnsi="Times New Roman" w:cs="Times New Roman"/>
            <w:color w:val="0000FF"/>
            <w:sz w:val="28"/>
            <w:szCs w:val="28"/>
          </w:rPr>
          <w:t>9</w:t>
        </w:r>
      </w:hyperlink>
      <w:r w:rsidRPr="00362ABE">
        <w:rPr>
          <w:rFonts w:ascii="Times New Roman" w:hAnsi="Times New Roman" w:cs="Times New Roman"/>
          <w:sz w:val="28"/>
          <w:szCs w:val="28"/>
        </w:rPr>
        <w:t xml:space="preserve"> - 14, </w:t>
      </w:r>
      <w:hyperlink w:anchor="P178" w:history="1">
        <w:r w:rsidRPr="00362ABE">
          <w:rPr>
            <w:rFonts w:ascii="Times New Roman" w:hAnsi="Times New Roman" w:cs="Times New Roman"/>
            <w:color w:val="0000FF"/>
            <w:sz w:val="28"/>
            <w:szCs w:val="28"/>
          </w:rPr>
          <w:t>17</w:t>
        </w:r>
      </w:hyperlink>
      <w:r w:rsidRPr="00362A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14" w:history="1">
        <w:r w:rsidRPr="00362ABE">
          <w:rPr>
            <w:rFonts w:ascii="Times New Roman" w:hAnsi="Times New Roman" w:cs="Times New Roman"/>
            <w:color w:val="0000FF"/>
            <w:sz w:val="28"/>
            <w:szCs w:val="28"/>
          </w:rPr>
          <w:t>22</w:t>
        </w:r>
      </w:hyperlink>
      <w:r w:rsidRPr="00362A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21" w:history="1">
        <w:r w:rsidRPr="00362ABE">
          <w:rPr>
            <w:rFonts w:ascii="Times New Roman" w:hAnsi="Times New Roman" w:cs="Times New Roman"/>
            <w:color w:val="0000FF"/>
            <w:sz w:val="28"/>
            <w:szCs w:val="28"/>
          </w:rPr>
          <w:t>23</w:t>
        </w:r>
      </w:hyperlink>
      <w:r w:rsidRPr="00362A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252" w:history="1">
        <w:r w:rsidRPr="00362ABE">
          <w:rPr>
            <w:rFonts w:ascii="Times New Roman" w:hAnsi="Times New Roman" w:cs="Times New Roman"/>
            <w:color w:val="0000FF"/>
            <w:sz w:val="28"/>
            <w:szCs w:val="28"/>
          </w:rPr>
          <w:t>28</w:t>
        </w:r>
      </w:hyperlink>
      <w:r w:rsidRPr="00362ABE">
        <w:rPr>
          <w:rFonts w:ascii="Times New Roman" w:hAnsi="Times New Roman" w:cs="Times New Roman"/>
          <w:sz w:val="28"/>
          <w:szCs w:val="28"/>
        </w:rPr>
        <w:t xml:space="preserve"> - 33, </w:t>
      </w:r>
      <w:hyperlink w:anchor="P342" w:history="1">
        <w:r w:rsidRPr="00362ABE">
          <w:rPr>
            <w:rFonts w:ascii="Times New Roman" w:hAnsi="Times New Roman" w:cs="Times New Roman"/>
            <w:color w:val="0000FF"/>
            <w:sz w:val="28"/>
            <w:szCs w:val="28"/>
          </w:rPr>
          <w:t>42</w:t>
        </w:r>
      </w:hyperlink>
      <w:r w:rsidRPr="00362A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61" w:history="1">
        <w:r w:rsidRPr="00362ABE">
          <w:rPr>
            <w:rFonts w:ascii="Times New Roman" w:hAnsi="Times New Roman" w:cs="Times New Roman"/>
            <w:color w:val="0000FF"/>
            <w:sz w:val="28"/>
            <w:szCs w:val="28"/>
          </w:rPr>
          <w:t>45</w:t>
        </w:r>
      </w:hyperlink>
      <w:r w:rsidRPr="00362A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374" w:history="1">
        <w:r w:rsidRPr="00362ABE">
          <w:rPr>
            <w:rFonts w:ascii="Times New Roman" w:hAnsi="Times New Roman" w:cs="Times New Roman"/>
            <w:color w:val="0000FF"/>
            <w:sz w:val="28"/>
            <w:szCs w:val="28"/>
          </w:rPr>
          <w:t>47</w:t>
        </w:r>
      </w:hyperlink>
      <w:r w:rsidRPr="00362ABE">
        <w:rPr>
          <w:rFonts w:ascii="Times New Roman" w:hAnsi="Times New Roman" w:cs="Times New Roman"/>
          <w:sz w:val="28"/>
          <w:szCs w:val="28"/>
        </w:rPr>
        <w:t xml:space="preserve"> - 49, </w:t>
      </w:r>
      <w:hyperlink w:anchor="P403" w:history="1">
        <w:r w:rsidRPr="00362ABE">
          <w:rPr>
            <w:rFonts w:ascii="Times New Roman" w:hAnsi="Times New Roman" w:cs="Times New Roman"/>
            <w:color w:val="0000FF"/>
            <w:sz w:val="28"/>
            <w:szCs w:val="28"/>
          </w:rPr>
          <w:t>51</w:t>
        </w:r>
      </w:hyperlink>
      <w:r w:rsidRPr="00362ABE">
        <w:rPr>
          <w:rFonts w:ascii="Times New Roman" w:hAnsi="Times New Roman" w:cs="Times New Roman"/>
          <w:sz w:val="28"/>
          <w:szCs w:val="28"/>
        </w:rPr>
        <w:t xml:space="preserve"> - 61, </w:t>
      </w:r>
      <w:hyperlink w:anchor="P490" w:history="1">
        <w:r w:rsidRPr="00362ABE">
          <w:rPr>
            <w:rFonts w:ascii="Times New Roman" w:hAnsi="Times New Roman" w:cs="Times New Roman"/>
            <w:color w:val="0000FF"/>
            <w:sz w:val="28"/>
            <w:szCs w:val="28"/>
          </w:rPr>
          <w:t>63</w:t>
        </w:r>
      </w:hyperlink>
      <w:r w:rsidRPr="00362ABE">
        <w:rPr>
          <w:rFonts w:ascii="Times New Roman" w:hAnsi="Times New Roman" w:cs="Times New Roman"/>
          <w:sz w:val="28"/>
          <w:szCs w:val="28"/>
        </w:rPr>
        <w:t xml:space="preserve">, </w:t>
      </w:r>
      <w:hyperlink w:anchor="P495" w:history="1">
        <w:r w:rsidRPr="00362ABE">
          <w:rPr>
            <w:rFonts w:ascii="Times New Roman" w:hAnsi="Times New Roman" w:cs="Times New Roman"/>
            <w:color w:val="0000FF"/>
            <w:sz w:val="28"/>
            <w:szCs w:val="28"/>
          </w:rPr>
          <w:t>64</w:t>
        </w:r>
      </w:hyperlink>
      <w:r w:rsidRPr="00362ABE">
        <w:rPr>
          <w:rFonts w:ascii="Times New Roman" w:hAnsi="Times New Roman" w:cs="Times New Roman"/>
          <w:sz w:val="28"/>
          <w:szCs w:val="28"/>
        </w:rPr>
        <w:t xml:space="preserve"> принимают участие органы исполнительной власти субъектов Российской Федерации, осуществляющих государственное управление в сфере образования.</w:t>
      </w:r>
    </w:p>
    <w:p w:rsidR="0049797D" w:rsidRPr="00362ABE" w:rsidRDefault="0049797D">
      <w:pPr>
        <w:rPr>
          <w:rFonts w:ascii="Times New Roman" w:hAnsi="Times New Roman" w:cs="Times New Roman"/>
          <w:sz w:val="28"/>
          <w:szCs w:val="28"/>
        </w:rPr>
        <w:sectPr w:rsidR="0049797D" w:rsidRPr="00362ABE" w:rsidSect="00F92E4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9797D" w:rsidRPr="00362ABE" w:rsidRDefault="00497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6406"/>
        <w:gridCol w:w="914"/>
        <w:gridCol w:w="7591"/>
      </w:tblGrid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Сроки реализации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Ответственные исполнители</w:t>
            </w:r>
          </w:p>
        </w:tc>
      </w:tr>
      <w:tr w:rsidR="0049797D" w:rsidRPr="00362ABE" w:rsidTr="00362ABE">
        <w:tc>
          <w:tcPr>
            <w:tcW w:w="15451" w:type="dxa"/>
            <w:gridSpan w:val="4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1. ОБЩЕСИСТЕМНЫЕ МЕРОПРИЯТИЯ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" w:name="P49"/>
            <w:bookmarkEnd w:id="1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по составлению индивидуальных учебных планов (индивидуальных траекторий обучения) обучающихся, реализующих образовательные программы начального общего, основного общего и среднего общего образования, на основе их интересов и с учетом различных подходов к формированию направлений содержания математического образования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подготовки рабочих кадров и ДПО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Организация разработки (актуализации) примерных основных общеобразовательных и профессиональных образовательных программ в части учебного предмета математика, обеспечивающих введение различных направлений изучения математики, включая методические рекомендации для учителя (преподавателя)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2014 - 2015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подготовки рабочих кадров и ДПО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программами и конкурсных процедур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63"/>
            <w:bookmarkEnd w:id="2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Организация разработки, апробации и внедрения новых элементов содержания математического образования (математическая логика, теория алгоритмов и игр, теория множеств, теория вероятности и математической статистики и др.) в организациях, осуществляющих образовательную деятельность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анализа результативных </w:t>
            </w: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практик, методик и технологий преподавания математики, в том числе по работе с лицами с ограниченными возможностями здоровья и инвалидами, и разработки предложений по их распространению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2016 - </w:t>
            </w: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государственной политики в сфере общего </w:t>
            </w: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подготовки рабочих кадров и ДПО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защиты прав детей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Организация разработки, апробации и внедрения новых учебно-методических комплексов и инструментов, в том числе в электронной форме, по математике и информатике в организациях, осуществляющих образовательную деятельность (для разных профилей обучения)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подготовки рабочих кадров и ДПО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олимпиад и иных конкурсных мероприятий для учителей, преподавателей и научных работников в области математического образования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подготовки рабочих кадров и ДПО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науки и технологий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воспитания детей и молодежи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анализа результативных практик поддержки лидеров математического образования (в том числе региональных) и разработки методических рекомендаций по их поддержке и распространению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государственной политики в сфере подготовки рабочих кадров и ДПО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науки и технологий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программами и конкурсных процедур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Организация разработки и внедрения системы грантов (премий, стипендий, долгосрочных международных стажировок) для преподавателей математики ведущих образовательных организаций высшего образования, молодых ученых-математиков (временных позиций пост-доков) ведущих образовательных организаций высшего образования, профессорских позиций ученых мирового уровня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науки и технологий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3" w:name="P108"/>
            <w:bookmarkEnd w:id="3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Разработка методических рекомендаций для научных и образовательных организаций по поддержке ученых-математиков, учителей (преподавателей) математики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науки и технологий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подготовки рабочих кадров и ДПО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финансов, организации бюджетного процесса, методологии и экономики образования и науки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Развитие системы олимпиад и иных конкурсных мероприятий для одаренных детей, талантливой молодежи, молодых ученых, направленных на развитие математической грамотности и математической культуры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науки и технологий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государственной политики в сфере воспитания </w:t>
            </w: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детей и молодежи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Поддержка образовательных организаций, в том числе нетиповых, реализующих основные и дополнительные образовательные программы для граждан, проявивших выдающиеся способности, а также граждан, добившихся успехов в учебной деятельности, научной (научно-исследовательской) деятельности (одаренных детей, талантливой молодежи, молодых учителей и ученых) ("летние, зимние, вечерние школы" и др.)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воспитания детей и молодежи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подготовки рабочих кадров и ДПО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науки и технологий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одаренных детей и талантливой молодежи, молодых ученых в международных олимпиадах и иных конкурсных мероприятиях и интенсивных образовательных программах (школах)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воспитания детей и молодежи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науки и технологий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Международный департамент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Поддержка деятельности профессиональных ассоциаций, профессиональных интернет-сообществ, социально ориентированных некоммерческих организаций и саморегулируемых организаций, обеспечивающих распространение инновационных технологий в области математики, популяризацию математических знаний и математического образования в современном российском обществе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информационной и региональной политики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воспитания детей и молодежи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государственной политики в сфере подготовки </w:t>
            </w: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рабочих кадров и ДПО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защиты прав детей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на конкурсной основе не менее 20 региональных программ (комплексных планов) по реализации </w:t>
            </w:r>
            <w:hyperlink r:id="rId10" w:history="1">
              <w:r w:rsidRPr="00362A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Концепции</w:t>
              </w:r>
            </w:hyperlink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математического образования в Российской Федерации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информационной и региональной политики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Организация и проведение общероссийских мероприятий (съездов, конгрессов, конференций, симпозиумов) математической направленности (не менее 14, из них не менее 6 - с участием руководства страны)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информационной и региональной политики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науки и технологий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Международный департамент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подготовки рабочих кадров и ДПО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участия российских специалистов в крупных международных мероприятиях в области математического образования (выставках, конференциях, конгрессах и других мероприятиях) за рубежом, в том числе проводимых в рамках деятельности Таможенного союза и Единого экономического пространства, Содружества Независимых Государств, Азиатско-Тихоокеанского экономического сотрудничества, Евразийского экономического сообщества, БРИКС, </w:t>
            </w: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Шанхайской организации сотрудничества, ЧЭС, АСЕАН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Международный департамент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науки и технологий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информационной и региональной политики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4" w:name="P178"/>
            <w:bookmarkEnd w:id="4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инновационных образовательных проектов, программ, направленных на совершенствование математического образования (включая апробацию инновационных программ, экспериментальных учебников и учебных пособий), и внедрение их результатов в практику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информационной и региональной политики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программами и конкурсных процедур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подготовки рабочих кадров и ДПО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анализа лучших зарубежных практик обучения математике и организации математического образования с целью распространения лучших практик и обеспечения конкурентных позиций Российской Федерации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2015 - 2016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Международный департамент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науки и технологий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подготовки рабочих кадров и ДПО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защиты прав детей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программами и конкурсных процедур</w:t>
            </w:r>
          </w:p>
        </w:tc>
      </w:tr>
      <w:tr w:rsidR="0049797D" w:rsidRPr="00362ABE" w:rsidTr="00362ABE">
        <w:tc>
          <w:tcPr>
            <w:tcW w:w="15451" w:type="dxa"/>
            <w:gridSpan w:val="4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2. ОБЩЕЕ ОБРАЗОВАНИЕ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анализа игр, игрушек, материальных и инновационных сред, направленных на раннее развитие математической грамотности и культуры, разработки методических рекомендаций по их использованию в семье и в </w:t>
            </w: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организациях, реализующих образовательные программы дошкольного образования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воспитания детей и молодежи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Организация разработки методических рекомендаций для образовательных организаций, реализующих образовательные программы дошкольного образования, по реализации федерального государственного образовательного стандарта дошкольного образования в части формирования у детей раннего и дошкольного возраста первичных математических навыков и элементарных представлений из области математики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2017 - 2020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внедрения системы внешней оценки результатов обучения по математике обучающихся по образовательным программам начального общего, основного общего и среднего общего образования, в том числе разработка и апробация комплектов единых диагностических материалов, контрольных измерительных материалов и рекомендаций по их использованию для каждого класса организаций, осуществляющих образовательную деятельность, включая развитие системы профессиональной экспертизы измерительных и диагностических материалов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Рособрнадзор</w:t>
            </w:r>
            <w:proofErr w:type="spellEnd"/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5" w:name="P214"/>
            <w:bookmarkEnd w:id="5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разработки, апробации и внедрения разнообразных форм оценки </w:t>
            </w:r>
            <w:proofErr w:type="gramStart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образовательных достижений</w:t>
            </w:r>
            <w:proofErr w:type="gramEnd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по математике, информатике, в том числе сред автоматизированной диагностики, для оценки и проектирования индивидуального прогресса и </w:t>
            </w:r>
            <w:proofErr w:type="spellStart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внеучебных</w:t>
            </w:r>
            <w:proofErr w:type="spellEnd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 обучающихся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2015 - 2018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Рособрнадзор</w:t>
            </w:r>
            <w:proofErr w:type="spellEnd"/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6" w:name="P221"/>
            <w:bookmarkEnd w:id="6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разработки методических рекомендаций, направленных на совершенствование </w:t>
            </w: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работы с "отстающими" обучающимися по математике, в том числе адаптированных образовательных программ, инструментов автоматизированной диагностики и преодоления </w:t>
            </w:r>
            <w:proofErr w:type="gramStart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индивидуальных трудностей</w:t>
            </w:r>
            <w:proofErr w:type="gramEnd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 обучающихся в области математики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2016 - 2018 </w:t>
            </w: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подготовки рабочих кадров и ДПО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защиты прав детей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Совершенствование системы государственной итоговой аттестации, завершающей освоение основных образовательных программ основного общего и среднего общего образования, по математике, разработка соответствующих контрольных измерительных материалов, обеспечивающих введение различных направлений изучения математики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Рособрнадзор</w:t>
            </w:r>
            <w:proofErr w:type="spellEnd"/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федеральных баз данных контрольных измерительных материалов по математике на всех уровнях общего образования. Создание и развитие системы профессиональной экспертизы контрольных измерительных материалов по математике. Создание и поддержка "международного банка заданий по математике"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2016 - 2020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Рособрнадзор</w:t>
            </w:r>
            <w:proofErr w:type="spellEnd"/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Российской Федерации в международных сопоставительных исследованиях качества общего образования: TIMSS, PISA, исследования АТЭС, TALIS и других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2014 - 2020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Международный департамент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программами и конкурсных процедур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проведения анализа лучших практик использования ИКТ-технологий и инструментов в освоении математического содержания различных учебных предметов и разработки методических </w:t>
            </w: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рекомендаций по их внедрению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2016 год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7" w:name="P252"/>
            <w:bookmarkEnd w:id="7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28.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на конкурсной основе открытого банка </w:t>
            </w:r>
            <w:proofErr w:type="spellStart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видеолекций</w:t>
            </w:r>
            <w:proofErr w:type="spellEnd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 и мастер-классов учителей математики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информационной и региональной политики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29.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Формирование и ведение единой федеральной базы данных по образовательным программам для одаренных детей и талантливой молодежи по математике, обеспечение ее обновления на постоянной основе и свободного доступа к ней образовательных организаций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2016 - 2018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воспитания детей и молодежи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30.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Создание общедоступных федеральных баз данных по образовательным программам математической направленности (профиля): примерным рабочим программам внеурочной деятельности, дополнительным учебным предметам математического содержания в различных учебных предметах, курсам по выбору обучающихся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подготовки рабочих кадров и ДПО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Поддержка "общенациональных интернет-школ" по математике для обучающихся 5 - 11 классов (не менее трех), в том числе на базе массовых открытых онлайн-курсов (МООК) в области математики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информационной и региональной политики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воспитания детей и молодежи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программами и конкурсных процедур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32.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на конкурсной основе лучших учителей </w:t>
            </w: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математики в организациях, осуществляющих образовательную деятельность, реализующих образовательные программы начального общего, основного общего и среднего общего образования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2016 - </w:t>
            </w: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2018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Департамент государственной политики в сфере общего </w:t>
            </w: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33.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Организация разработки методических рекомендаций по составлению локальных нормативных актов образовательной организации, реализующей образовательные программы начального общего, основного общего и среднего общего образования математической направленности (профиля)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</w:tc>
      </w:tr>
      <w:tr w:rsidR="0049797D" w:rsidRPr="00362ABE" w:rsidTr="00362ABE">
        <w:tc>
          <w:tcPr>
            <w:tcW w:w="15451" w:type="dxa"/>
            <w:gridSpan w:val="4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3. ПРОФЕССИОНАЛЬНОЕ ОБРАЗОВАНИЕ, В ТОМ ЧИСЛЕ ДОПОЛНИТЕЛЬНОЕ, ПОДГОТОВКА НАУЧНО-ПЕДАГОГИЧЕСКИХ РАБОТНИКОВ ОБРАЗОВАТЕЛЬНЫХ ОРГАНИЗАЦИЙ ВЫСШЕГО ОБРАЗОВАНИЯ И НАУЧНЫХ РАБОТНИКОВ НАУЧНЫХ ОРГАНИЗАЦИЙ, МАТЕМАТИЧЕСКАЯ НАУКА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34.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Организация проведения анализа существующих практик и методик в области профессионального образования по использованию дистанционных образовательных технологий и электронного обучения, в том числе зарубежных. Организация разработки методических рекомендаций по применению наиболее результативных практик и методик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подготовки рабочих кадров и ДПО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Международный департамент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информационной и региональной политики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программами и конкурсных процедур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35.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Поддержка программ развития математических факультетов и институтов образовательных организаций высшего образования (мероприятия по системному повышению научного и образовательного уровня, создание самостоятельно или совместно с ведущими институтами научно-образовательных центров, реализующих аспирантские и магистерские программы мирового уровня)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информационной и региональной политики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науки и технологий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Разработка и реализация комплекса мер по привлечению преподавателей с международного рынка труда на математические факультеты образовательных организаций высшего образования Российской Федерации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2016 - 2020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Международный департамент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37.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Организация работы по созданию в образовательных организациях высшего образования учебно-исследовательских позиций, привлекательных для высококвалифицированных специалистов и перспективной молодежи, проведение открытых конкурсов на занятие вакантных позиций; разработка процедуры общероссийских конкурсов и введение занимаемых на основе этих конкурсов позиций федеральных профессоров, конкурентоспособных на международном уровне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науки и технологий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38.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и внедрение поддержки на </w:t>
            </w:r>
            <w:proofErr w:type="spellStart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грантовой</w:t>
            </w:r>
            <w:proofErr w:type="spellEnd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 основе научной и преподавательской деятельности, выездных школ, конференций, стажировок; долгосрочных грантов на перспективные исследовательские проекты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2016 - 2020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науки и технологий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39.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Поддержка программ интернационализации образовательных организаций высшего образования (мероприятия по развитию профессиональной мобильности преподавателей, мероприятия по профессиональной переподготовке и повышению квалификации преподавателей и научных сотрудников в ведущих зарубежных математических научно-образовательных центрах, мероприятия по международной экспертизе, мероприятия по созданию совместных программ с ведущими зарубежными научно-образовательными центрами)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2016 - 2020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Международный департамент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науки и технологий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Поддержка проектов по развитию академической мобильности студентов и аспирантов (обучение российских студентов, молодых ученых в ведущих математических университетах мира, международных учебных центрах и научных организациях)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2017 - 2020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Международный департамент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науки и технологий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41.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разработки и реализации образовательных программ высшего образования - программ </w:t>
            </w:r>
            <w:proofErr w:type="spellStart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бакалавриата</w:t>
            </w:r>
            <w:proofErr w:type="spellEnd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, программ </w:t>
            </w:r>
            <w:proofErr w:type="spellStart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специалитета</w:t>
            </w:r>
            <w:proofErr w:type="spellEnd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, программ магистратуры педагогической направленности, в том числе для лиц, имеющих высшее педагогическое образование, и лиц, окончивших непедагогические образовательные организации высшего образования, с учетом потребности в углубленном практическом освоении элементарной математики и ее связи с практикой работы в общеобразовательной организации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2014 - 2020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8" w:name="P342"/>
            <w:bookmarkEnd w:id="8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42.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Организация разработки и апробации новых моделей педагогической практики студентов математических факультетов на базе образовательных организаций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43.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Создание на конкурсной основе в Российской Федерации не менее шести международных научно-образовательных центров мирового уровня в области математики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науки и технологий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Международный департамент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44.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комплекса мер, направленных на обеспечение интеграции российских математических исследований в мировую науку (достижение высоких позиций в мировых рейтингах, рост качества, количества и цитируемости работ </w:t>
            </w: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российских математиков, рост привлекательности системы российского математического образования для лучших иностранных студентов и профессоров)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науки и технологий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Международный департамент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9" w:name="P361"/>
            <w:bookmarkEnd w:id="9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45.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Поддержка программ образовательного обмена для преподавателей математики между субъектами Российской Федерации (летние и зимние школы и др.), проектов межрегионального партнерства, в том числе методической и консультационной поддержки со стороны регионов-лидеров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2016 - 2020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информационной и региональной политики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46.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Организация создания и развития научно-образовательной информационной сети, в том числе через поддержку на конкурсной основе ведущих российских научных журналов в области математики и математического образования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науки и технологий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информационной и региональной политики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0" w:name="P374"/>
            <w:bookmarkEnd w:id="10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47.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Обеспечение доступа к электронным международным информационно-образовательным ресурсам математической направленности и реферируемым журналам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2018 - 2020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науки и технологий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Международный департамент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48.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Создание </w:t>
            </w:r>
            <w:proofErr w:type="spellStart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стажировочных</w:t>
            </w:r>
            <w:proofErr w:type="spellEnd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 площадок на базе лидерских практик математического образования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науки и технологий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подготовки рабочих кадров и ДПО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программами и конкурсных процедур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49.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Организация разработки моделей реализации дополнительных профессиональных программ - программ повышения квалификации, программ профессиональной переподготовки для учителей (преподавателей) математики на базе организаций высшего и дополнительного профессионального образования, исследовательских и научных центров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подготовки рабочих кадров и ДПО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50.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Обеспечение участия Российской Федерации в международных сопоставительных исследованиях: AHELO и других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2014 - 2020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Международный департамент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программами и конкурсных процедур</w:t>
            </w:r>
          </w:p>
        </w:tc>
      </w:tr>
      <w:tr w:rsidR="0049797D" w:rsidRPr="00362ABE" w:rsidTr="00362ABE">
        <w:tc>
          <w:tcPr>
            <w:tcW w:w="15451" w:type="dxa"/>
            <w:gridSpan w:val="4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4. МАТЕМАТИЧЕСКОЕ ПРОСВЕЩЕНИЕ И ПОПУЛЯРИЗАЦИЯ МАТЕМАТИКИ, ДОПОЛНИТЕЛЬНОЕ ОБРАЗОВАНИЕ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1" w:name="P403"/>
            <w:bookmarkEnd w:id="11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51.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Организация разработки навигаторов образовательных услуг в области математики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подготовки рабочих кадров и ДПО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52.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Поддержка созданных на конкурсной основе интерактивных (</w:t>
            </w:r>
            <w:proofErr w:type="spellStart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деятельностных</w:t>
            </w:r>
            <w:proofErr w:type="spellEnd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) музеев математики, персональных музеев российских математиков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2016 - 2020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воспитания детей и молодежи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53.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создания математических интернет-порталов и социальных сетей, сервисов для создания </w:t>
            </w: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презентации творческих продуктов и проектов, массовых открытых онлайн-курсов (МООК) в области математики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2015 - 2020 </w:t>
            </w: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информационной и региональной политики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Департамент государственной политики в сфере общего </w:t>
            </w: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подготовки рабочих кадров и ДПО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науки и технологий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54.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Поддержка создания центров интересной науки и </w:t>
            </w:r>
            <w:proofErr w:type="spellStart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эксплораториумов</w:t>
            </w:r>
            <w:proofErr w:type="spellEnd"/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2016 - 2020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воспитания детей и молодежи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55.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Поддержка и распространение успешных практик дополнительного образования (в том числе кружков), направленных на развитие математических способностей обучающихся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воспитания детей и молодежи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56.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Организация разработки интерактивных систем тестирования знаний и компетенций в области математики для различных категорий населения (в том числе через участие Российской Федерации в международном сопоставительном исследовании PIAAC)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подготовки рабочих кадров и ДПО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57.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Организация разработки на конкурсной основе обучающих игр и игр-симуляторов в области математики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2017 - 2020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воспитания детей и молодежи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58.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Поддержка на конкурсной основе социально значимых тематических телевизионных программ и радиопрограмм, документальных и игровых фильмов, направленных на популяризацию математики, достижений российских математиков и математическое просвещение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2016 - 2018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информационной и региональной политики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59.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Организация мероприятий по присвоению общеобразовательным организациям имен известных российских математиков с целью увековечения их памяти и патриотического воспитания молодежи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воспитания детей и молодежи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60.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Организация разработки календаря знаменательных дат и событий в области математики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</w:tc>
      </w:tr>
      <w:tr w:rsidR="0049797D" w:rsidRPr="00362ABE" w:rsidTr="00362ABE">
        <w:tc>
          <w:tcPr>
            <w:tcW w:w="15451" w:type="dxa"/>
            <w:gridSpan w:val="4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МОНИТОРИНГ И КОНТРОЛЬ РЕАЛИЗАЦИИ КОНЦЕПЦИИ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61.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мониторинга реализации </w:t>
            </w:r>
            <w:hyperlink r:id="rId11" w:history="1">
              <w:r w:rsidRPr="00362A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Концепции</w:t>
              </w:r>
            </w:hyperlink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математического образования в Российской Федерации, утвержденной распоряжением Правительства Российской Федерации от 24 декабря 2013 г. N 2506-р, и по его результатам подготовка доклада в Правительство Российской Федерации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2015, 2017, 2019,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подготовки рабочих кадров и ДПО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науки и технологий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Международный департамент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программами и конкурсных процедур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информационной и региональной политики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воспитания детей и молодежи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защиты прав детей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финансов, организации бюджетного процесса, методологии и экономики образования и науки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62.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Проведение ежегодного анализа состояния математического образования, его конкурентных международных позиций с подготовкой доклада ("белой книги" математического образования)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подготовки рабочих кадров и ДПО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науки и технологий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программами и конкурсных процедур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Международный департамент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2" w:name="P490"/>
            <w:bookmarkEnd w:id="12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63.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информационного сопровождения мероприятий по реализации </w:t>
            </w:r>
            <w:hyperlink r:id="rId12" w:history="1">
              <w:r w:rsidRPr="00362A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Концепции</w:t>
              </w:r>
            </w:hyperlink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математического образования в Российской Федерации, утвержденной распоряжением Правительства Российской Федерации от 24 декабря 2013 г. N 2506-р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2014 - 2020 годы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информационной и региональной политики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стратегии, анализа и прогноза</w:t>
            </w:r>
          </w:p>
        </w:tc>
      </w:tr>
      <w:tr w:rsidR="0049797D" w:rsidRPr="00362ABE" w:rsidTr="00362ABE">
        <w:tc>
          <w:tcPr>
            <w:tcW w:w="540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13" w:name="P495"/>
            <w:bookmarkEnd w:id="13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64.</w:t>
            </w:r>
          </w:p>
        </w:tc>
        <w:tc>
          <w:tcPr>
            <w:tcW w:w="640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Совершенствование системы мониторинга оценки эффективности реализации </w:t>
            </w:r>
            <w:hyperlink r:id="rId13" w:history="1">
              <w:r w:rsidRPr="00362A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Концепции</w:t>
              </w:r>
            </w:hyperlink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математического образования в Российской Федерации, утвержденной распоряжением Правительства Российской Федерации от 24 декабря 2013 г. N 2506-р</w:t>
            </w:r>
          </w:p>
        </w:tc>
        <w:tc>
          <w:tcPr>
            <w:tcW w:w="914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2014 год, ежегодно</w:t>
            </w:r>
          </w:p>
        </w:tc>
        <w:tc>
          <w:tcPr>
            <w:tcW w:w="7591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общего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подготовки рабочих кадров и ДПО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государственной политики в сфере высшего образования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Департамент науки и технологий</w:t>
            </w:r>
          </w:p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Департамент управления программами и конкурсных процедур</w:t>
            </w:r>
          </w:p>
        </w:tc>
      </w:tr>
    </w:tbl>
    <w:p w:rsidR="0049797D" w:rsidRPr="00362ABE" w:rsidRDefault="00497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97D" w:rsidRPr="00362ABE" w:rsidRDefault="00497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2ABE">
        <w:rPr>
          <w:rFonts w:ascii="Times New Roman" w:hAnsi="Times New Roman" w:cs="Times New Roman"/>
          <w:sz w:val="28"/>
          <w:szCs w:val="28"/>
        </w:rPr>
        <w:t>--------------------------------</w:t>
      </w:r>
    </w:p>
    <w:p w:rsidR="0049797D" w:rsidRPr="00362ABE" w:rsidRDefault="00497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4" w:name="P505"/>
      <w:bookmarkEnd w:id="14"/>
      <w:r w:rsidRPr="00362ABE">
        <w:rPr>
          <w:rFonts w:ascii="Times New Roman" w:hAnsi="Times New Roman" w:cs="Times New Roman"/>
          <w:sz w:val="28"/>
          <w:szCs w:val="28"/>
        </w:rPr>
        <w:t>&lt;**&gt; Целевые индикаторы</w:t>
      </w:r>
    </w:p>
    <w:p w:rsidR="0049797D" w:rsidRPr="00362ABE" w:rsidRDefault="00497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32"/>
        <w:gridCol w:w="1356"/>
        <w:gridCol w:w="992"/>
        <w:gridCol w:w="709"/>
        <w:gridCol w:w="992"/>
        <w:gridCol w:w="992"/>
        <w:gridCol w:w="993"/>
        <w:gridCol w:w="992"/>
        <w:gridCol w:w="1417"/>
      </w:tblGrid>
      <w:tr w:rsidR="0049797D" w:rsidRPr="00362ABE" w:rsidTr="00362ABE">
        <w:tc>
          <w:tcPr>
            <w:tcW w:w="623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Базовое значение (2014 год)</w:t>
            </w:r>
          </w:p>
        </w:tc>
        <w:tc>
          <w:tcPr>
            <w:tcW w:w="709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2015 год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2016 год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</w:p>
        </w:tc>
        <w:tc>
          <w:tcPr>
            <w:tcW w:w="993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2018 год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2019 год</w:t>
            </w:r>
          </w:p>
        </w:tc>
        <w:tc>
          <w:tcPr>
            <w:tcW w:w="1417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Конечное значение (2020 год)</w:t>
            </w:r>
          </w:p>
        </w:tc>
      </w:tr>
      <w:tr w:rsidR="0049797D" w:rsidRPr="00362ABE" w:rsidTr="00362ABE">
        <w:tc>
          <w:tcPr>
            <w:tcW w:w="14675" w:type="dxa"/>
            <w:gridSpan w:val="9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Целевые индикаторы плана мероприятий</w:t>
            </w:r>
          </w:p>
        </w:tc>
      </w:tr>
      <w:tr w:rsidR="0049797D" w:rsidRPr="00362ABE" w:rsidTr="00362ABE">
        <w:tc>
          <w:tcPr>
            <w:tcW w:w="623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Доля субъектов Российской Федерации, реализующих проекты и программы по реализации </w:t>
            </w:r>
            <w:hyperlink r:id="rId14" w:history="1">
              <w:r w:rsidRPr="00362ABE">
                <w:rPr>
                  <w:rFonts w:ascii="Times New Roman" w:hAnsi="Times New Roman" w:cs="Times New Roman"/>
                  <w:color w:val="0000FF"/>
                  <w:sz w:val="28"/>
                  <w:szCs w:val="28"/>
                </w:rPr>
                <w:t>Концепции</w:t>
              </w:r>
            </w:hyperlink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 развития математического образования в Российской Федерации, в общем числе субъектов Российской Федерации</w:t>
            </w:r>
          </w:p>
        </w:tc>
        <w:tc>
          <w:tcPr>
            <w:tcW w:w="135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93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1417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</w:tr>
      <w:tr w:rsidR="0049797D" w:rsidRPr="00362ABE" w:rsidTr="00362ABE">
        <w:tc>
          <w:tcPr>
            <w:tcW w:w="623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Доля учителей (преподавателей) математики, прошедших повышение квалификации и переподготовку по вопросам обновления структуры и содержания математического образования</w:t>
            </w:r>
          </w:p>
        </w:tc>
        <w:tc>
          <w:tcPr>
            <w:tcW w:w="135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9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93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1417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</w:tr>
      <w:tr w:rsidR="0049797D" w:rsidRPr="00362ABE" w:rsidTr="00362ABE">
        <w:tc>
          <w:tcPr>
            <w:tcW w:w="623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Удельный вес численности российских школьников, достигших базового уровня образовательных достижений по математике в международных сопоставительных исследованиях качества образования:</w:t>
            </w:r>
          </w:p>
        </w:tc>
        <w:tc>
          <w:tcPr>
            <w:tcW w:w="8443" w:type="dxa"/>
            <w:gridSpan w:val="8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7D" w:rsidRPr="00362ABE" w:rsidTr="00362ABE">
        <w:tc>
          <w:tcPr>
            <w:tcW w:w="623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международное исследование TIMSS:</w:t>
            </w:r>
          </w:p>
        </w:tc>
        <w:tc>
          <w:tcPr>
            <w:tcW w:w="8443" w:type="dxa"/>
            <w:gridSpan w:val="8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7D" w:rsidRPr="00362ABE" w:rsidTr="00362ABE">
        <w:tc>
          <w:tcPr>
            <w:tcW w:w="623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математика (4 класс)</w:t>
            </w:r>
          </w:p>
        </w:tc>
        <w:tc>
          <w:tcPr>
            <w:tcW w:w="135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709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3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1417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</w:tr>
      <w:tr w:rsidR="0049797D" w:rsidRPr="00362ABE" w:rsidTr="00362ABE">
        <w:tc>
          <w:tcPr>
            <w:tcW w:w="623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математика (8 класс)</w:t>
            </w:r>
          </w:p>
        </w:tc>
        <w:tc>
          <w:tcPr>
            <w:tcW w:w="135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709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3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1417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49797D" w:rsidRPr="00362ABE" w:rsidTr="00362ABE">
        <w:tc>
          <w:tcPr>
            <w:tcW w:w="623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международное исследование PISA:</w:t>
            </w:r>
          </w:p>
        </w:tc>
        <w:tc>
          <w:tcPr>
            <w:tcW w:w="8443" w:type="dxa"/>
            <w:gridSpan w:val="8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797D" w:rsidRPr="00362ABE" w:rsidTr="00362ABE">
        <w:tc>
          <w:tcPr>
            <w:tcW w:w="623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математическая грамотность</w:t>
            </w:r>
          </w:p>
        </w:tc>
        <w:tc>
          <w:tcPr>
            <w:tcW w:w="135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проценты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709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93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1417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</w:tr>
      <w:tr w:rsidR="0049797D" w:rsidRPr="00362ABE" w:rsidTr="00362ABE">
        <w:tc>
          <w:tcPr>
            <w:tcW w:w="623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Количество регионов, в которых в течение трех лет, предшествующих отчетному периоду, имелся хотя бы один победитель или призер заключительного этапа всероссийской олимпиады школьников</w:t>
            </w:r>
          </w:p>
        </w:tc>
        <w:tc>
          <w:tcPr>
            <w:tcW w:w="135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709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93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417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</w:tr>
      <w:tr w:rsidR="0049797D" w:rsidRPr="00362ABE" w:rsidTr="00362ABE">
        <w:tc>
          <w:tcPr>
            <w:tcW w:w="623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российских журналов математической направленности, индексируемых </w:t>
            </w:r>
            <w:proofErr w:type="spellStart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 (нарастающим итогом)</w:t>
            </w:r>
          </w:p>
        </w:tc>
        <w:tc>
          <w:tcPr>
            <w:tcW w:w="135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09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93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417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</w:tr>
      <w:tr w:rsidR="0049797D" w:rsidRPr="00362ABE" w:rsidTr="00362ABE">
        <w:tc>
          <w:tcPr>
            <w:tcW w:w="623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российских журналов математической направленности, входящих в первую сотню по величине </w:t>
            </w:r>
            <w:proofErr w:type="spellStart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импакт</w:t>
            </w:r>
            <w:proofErr w:type="spellEnd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-фактора </w:t>
            </w:r>
            <w:proofErr w:type="spellStart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Web</w:t>
            </w:r>
            <w:proofErr w:type="spellEnd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of</w:t>
            </w:r>
            <w:proofErr w:type="spellEnd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 (нарастающим итогом)</w:t>
            </w:r>
          </w:p>
        </w:tc>
        <w:tc>
          <w:tcPr>
            <w:tcW w:w="135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3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417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49797D" w:rsidRPr="00362ABE" w:rsidTr="00362ABE">
        <w:tc>
          <w:tcPr>
            <w:tcW w:w="623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публикаций, некоторые из авторов которых имеют российскую </w:t>
            </w:r>
            <w:proofErr w:type="spellStart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аффилиацию</w:t>
            </w:r>
            <w:proofErr w:type="spellEnd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, в журналах, индексируемых </w:t>
            </w:r>
            <w:proofErr w:type="spellStart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Science</w:t>
            </w:r>
            <w:proofErr w:type="spellEnd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Citation</w:t>
            </w:r>
            <w:proofErr w:type="spellEnd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Index</w:t>
            </w:r>
            <w:proofErr w:type="spellEnd"/>
          </w:p>
        </w:tc>
        <w:tc>
          <w:tcPr>
            <w:tcW w:w="135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  <w:bookmarkStart w:id="15" w:name="_GoBack"/>
            <w:bookmarkEnd w:id="15"/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3700</w:t>
            </w:r>
          </w:p>
        </w:tc>
        <w:tc>
          <w:tcPr>
            <w:tcW w:w="709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3800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3900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4000</w:t>
            </w:r>
          </w:p>
        </w:tc>
        <w:tc>
          <w:tcPr>
            <w:tcW w:w="993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4200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4400</w:t>
            </w:r>
          </w:p>
        </w:tc>
        <w:tc>
          <w:tcPr>
            <w:tcW w:w="1417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4600</w:t>
            </w:r>
          </w:p>
        </w:tc>
      </w:tr>
      <w:tr w:rsidR="0049797D" w:rsidRPr="00362ABE" w:rsidTr="00362ABE">
        <w:tc>
          <w:tcPr>
            <w:tcW w:w="623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приглашенных докладчиков с российской </w:t>
            </w:r>
            <w:proofErr w:type="spellStart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аффилиацией</w:t>
            </w:r>
            <w:proofErr w:type="spellEnd"/>
            <w:r w:rsidRPr="00362ABE">
              <w:rPr>
                <w:rFonts w:ascii="Times New Roman" w:hAnsi="Times New Roman" w:cs="Times New Roman"/>
                <w:sz w:val="28"/>
                <w:szCs w:val="28"/>
              </w:rPr>
              <w:t xml:space="preserve"> на Международном конгрессе математиков и Европейском математическом конгрессе (проводится один раз в 4 года)</w:t>
            </w:r>
          </w:p>
        </w:tc>
        <w:tc>
          <w:tcPr>
            <w:tcW w:w="135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человек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9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93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417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49797D" w:rsidRPr="00362ABE" w:rsidTr="00362ABE">
        <w:tc>
          <w:tcPr>
            <w:tcW w:w="623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Количество созданных и приступивших к функционированию международных научно-образовательных математических центров (нарастающим итогом)</w:t>
            </w:r>
          </w:p>
        </w:tc>
        <w:tc>
          <w:tcPr>
            <w:tcW w:w="1356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единицы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709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17" w:type="dxa"/>
          </w:tcPr>
          <w:p w:rsidR="0049797D" w:rsidRPr="00362ABE" w:rsidRDefault="0049797D" w:rsidP="00362ABE">
            <w:pPr>
              <w:pStyle w:val="ConsPlusNormal"/>
              <w:spacing w:before="8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2ABE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</w:tbl>
    <w:p w:rsidR="0049797D" w:rsidRPr="00F92E42" w:rsidRDefault="00497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97D" w:rsidRPr="00F92E42" w:rsidRDefault="0049797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9797D" w:rsidRPr="00F92E42" w:rsidRDefault="0049797D">
      <w:pPr>
        <w:pStyle w:val="ConsPlusNormal"/>
        <w:pBdr>
          <w:top w:val="single" w:sz="6" w:space="0" w:color="auto"/>
        </w:pBdr>
        <w:spacing w:before="100" w:after="100"/>
        <w:rPr>
          <w:rFonts w:ascii="Times New Roman" w:hAnsi="Times New Roman" w:cs="Times New Roman"/>
          <w:sz w:val="28"/>
          <w:szCs w:val="28"/>
        </w:rPr>
      </w:pPr>
    </w:p>
    <w:p w:rsidR="004902CD" w:rsidRPr="00F92E42" w:rsidRDefault="004902CD">
      <w:pPr>
        <w:rPr>
          <w:rFonts w:ascii="Times New Roman" w:hAnsi="Times New Roman" w:cs="Times New Roman"/>
          <w:sz w:val="28"/>
          <w:szCs w:val="28"/>
        </w:rPr>
      </w:pPr>
    </w:p>
    <w:sectPr w:rsidR="004902CD" w:rsidRPr="00F92E42" w:rsidSect="00F92E42">
      <w:pgSz w:w="16838" w:h="11905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97D"/>
    <w:rsid w:val="00207C9D"/>
    <w:rsid w:val="00311FC8"/>
    <w:rsid w:val="00327C42"/>
    <w:rsid w:val="00362ABE"/>
    <w:rsid w:val="004902CD"/>
    <w:rsid w:val="0049797D"/>
    <w:rsid w:val="008B6D5D"/>
    <w:rsid w:val="00D0088C"/>
    <w:rsid w:val="00DC20F0"/>
    <w:rsid w:val="00DE0003"/>
    <w:rsid w:val="00F22B0E"/>
    <w:rsid w:val="00F90FB3"/>
    <w:rsid w:val="00F92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9E4D7-5EB3-4FDE-B044-49936C1ED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40" w:lineRule="exact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9797D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9797D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9797D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13ED427F942EC31FE3261AB21292FD939250CAA8E1E4C2C72B3216113m4X1D" TargetMode="External"/><Relationship Id="rId13" Type="http://schemas.openxmlformats.org/officeDocument/2006/relationships/hyperlink" Target="consultantplus://offline/ref=713ED427F942EC31FE3261AB21292FD939260BAE88144C2C72B32161134199FF4D855D7EE15C0CCFm1X0D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13ED427F942EC31FE3261AB21292FD939260BAE88144C2C72B32161134199FF4D855D7EE15C0CCFm1X0D" TargetMode="External"/><Relationship Id="rId12" Type="http://schemas.openxmlformats.org/officeDocument/2006/relationships/hyperlink" Target="consultantplus://offline/ref=713ED427F942EC31FE3261AB21292FD939260BAE88144C2C72B32161134199FF4D855D7EE15C0CCFm1X0D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13ED427F942EC31FE3261AB21292FD939260BAE88144C2C72B32161134199FF4D855D7EE15C0CCFm1X3D" TargetMode="External"/><Relationship Id="rId11" Type="http://schemas.openxmlformats.org/officeDocument/2006/relationships/hyperlink" Target="consultantplus://offline/ref=713ED427F942EC31FE3261AB21292FD939260BAE88144C2C72B32161134199FF4D855D7EE15C0CCFm1X0D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713ED427F942EC31FE3261AB21292FD939260BAE88144C2C72B32161134199FF4D855D7EE15C0CCFm1X0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13ED427F942EC31FE3261AB21292FD939250FA9811E4C2C72B32161134199FF4D855D7EE15C0CCEm1X4D" TargetMode="External"/><Relationship Id="rId14" Type="http://schemas.openxmlformats.org/officeDocument/2006/relationships/hyperlink" Target="consultantplus://offline/ref=713ED427F942EC31FE3261AB21292FD939260BAE88144C2C72B32161134199FF4D855D7EE15C0CCFm1X0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49D5DA-F0B9-4842-9857-D5C215536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22</Pages>
  <Words>5692</Words>
  <Characters>32450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Петровна Перминова</dc:creator>
  <cp:keywords/>
  <dc:description/>
  <cp:lastModifiedBy>Ольга Петровна Перминова</cp:lastModifiedBy>
  <cp:revision>4</cp:revision>
  <dcterms:created xsi:type="dcterms:W3CDTF">2015-12-09T03:23:00Z</dcterms:created>
  <dcterms:modified xsi:type="dcterms:W3CDTF">2015-12-11T02:04:00Z</dcterms:modified>
</cp:coreProperties>
</file>